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outlineLvl w:val="0"/>
        <w:rPr>
          <w:rFonts w:eastAsia="黑体"/>
          <w:color w:val="000000"/>
          <w:sz w:val="32"/>
          <w:szCs w:val="32"/>
        </w:rPr>
      </w:pPr>
      <w:r>
        <w:rPr>
          <w:rFonts w:eastAsia="黑体"/>
          <w:color w:val="000000"/>
          <w:sz w:val="32"/>
          <w:szCs w:val="32"/>
        </w:rPr>
        <w:t>附件1</w:t>
      </w:r>
    </w:p>
    <w:p>
      <w:pPr>
        <w:spacing w:line="400" w:lineRule="exact"/>
        <w:jc w:val="center"/>
        <w:rPr>
          <w:rFonts w:eastAsia="方正小标宋简体"/>
          <w:color w:val="000000"/>
          <w:kern w:val="0"/>
          <w:sz w:val="44"/>
          <w:szCs w:val="44"/>
        </w:rPr>
      </w:pPr>
    </w:p>
    <w:p>
      <w:pPr>
        <w:pStyle w:val="3"/>
        <w:spacing w:line="700" w:lineRule="exact"/>
        <w:ind w:left="0"/>
        <w:jc w:val="center"/>
        <w:rPr>
          <w:rFonts w:eastAsia="方正小标宋简体"/>
          <w:color w:val="000000"/>
          <w:kern w:val="0"/>
          <w:sz w:val="44"/>
          <w:szCs w:val="44"/>
        </w:rPr>
      </w:pPr>
      <w:bookmarkStart w:id="0" w:name="_GoBack"/>
      <w:r>
        <w:rPr>
          <w:rFonts w:eastAsia="方正小标宋简体"/>
          <w:color w:val="000000"/>
          <w:kern w:val="0"/>
          <w:sz w:val="44"/>
          <w:szCs w:val="44"/>
        </w:rPr>
        <w:t>项目申报具体要求和相关注意事项</w:t>
      </w:r>
      <w:bookmarkEnd w:id="0"/>
    </w:p>
    <w:p/>
    <w:p>
      <w:pPr>
        <w:pStyle w:val="2"/>
        <w:spacing w:line="580" w:lineRule="exact"/>
        <w:ind w:left="0"/>
        <w:rPr>
          <w:rFonts w:eastAsia="黑体"/>
          <w:color w:val="000000"/>
        </w:rPr>
      </w:pPr>
      <w:r>
        <w:rPr>
          <w:rFonts w:eastAsia="黑体"/>
          <w:color w:val="000000"/>
        </w:rPr>
        <w:t xml:space="preserve">    一、申报单位要求</w:t>
      </w:r>
    </w:p>
    <w:p>
      <w:pPr>
        <w:pStyle w:val="2"/>
        <w:spacing w:line="580" w:lineRule="exact"/>
        <w:ind w:left="0" w:firstLine="640" w:firstLineChars="200"/>
        <w:rPr>
          <w:rFonts w:eastAsia="仿宋_GB2312"/>
          <w:color w:val="000000"/>
        </w:rPr>
      </w:pPr>
      <w:r>
        <w:rPr>
          <w:rFonts w:eastAsia="仿宋_GB2312"/>
          <w:color w:val="000000"/>
        </w:rPr>
        <w:t>1</w:t>
      </w:r>
      <w:r>
        <w:rPr>
          <w:rFonts w:hint="eastAsia" w:eastAsia="仿宋_GB2312"/>
          <w:color w:val="000000"/>
        </w:rPr>
        <w:t>．</w:t>
      </w:r>
      <w:r>
        <w:rPr>
          <w:rFonts w:eastAsia="仿宋_GB2312"/>
          <w:color w:val="000000"/>
        </w:rPr>
        <w:t>申报单位、参与单位以及团队成员诚信状况良好，无在惩戒执行期内的科研失信行为记录和相关社会领域信用“黑名单”记录。</w:t>
      </w:r>
    </w:p>
    <w:p>
      <w:pPr>
        <w:pStyle w:val="2"/>
        <w:spacing w:line="580" w:lineRule="exact"/>
        <w:ind w:left="0" w:firstLine="640" w:firstLineChars="200"/>
        <w:rPr>
          <w:rFonts w:eastAsia="仿宋_GB2312"/>
          <w:color w:val="000000"/>
        </w:rPr>
      </w:pPr>
      <w:r>
        <w:rPr>
          <w:rFonts w:eastAsia="仿宋_GB2312"/>
          <w:color w:val="000000"/>
        </w:rPr>
        <w:t>2</w:t>
      </w:r>
      <w:r>
        <w:rPr>
          <w:rFonts w:hint="eastAsia" w:eastAsia="仿宋_GB2312"/>
          <w:color w:val="000000"/>
        </w:rPr>
        <w:t>．</w:t>
      </w:r>
      <w:r>
        <w:rPr>
          <w:rFonts w:eastAsia="仿宋_GB2312"/>
          <w:color w:val="000000"/>
        </w:rPr>
        <w:t>申报单位同一个项目只能通过单个推荐单位申报，不得多头申报和重复申报。</w:t>
      </w:r>
    </w:p>
    <w:p>
      <w:pPr>
        <w:pStyle w:val="3"/>
        <w:spacing w:line="580" w:lineRule="exact"/>
        <w:ind w:left="0" w:firstLine="640" w:firstLineChars="200"/>
        <w:rPr>
          <w:rFonts w:eastAsia="仿宋_GB2312"/>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申报单位为企业的，研发投入原则上不低于同行业研发投入平均水平，且自筹比例一般不低于80%（26县、海岛县企业和农业领域项目原则上不低于60%）。</w:t>
      </w:r>
    </w:p>
    <w:p>
      <w:pPr>
        <w:pStyle w:val="3"/>
        <w:spacing w:line="580" w:lineRule="exact"/>
        <w:ind w:left="0"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“尖兵计划”榜单项目牵头申报单位和参与单位无注册时间要求，但应具有相应的研发能力和研发投入。</w:t>
      </w:r>
    </w:p>
    <w:p>
      <w:pPr>
        <w:pStyle w:val="3"/>
        <w:spacing w:line="580" w:lineRule="exact"/>
        <w:ind w:left="0"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项目任务型创新联合体榜单，由相关产业链龙头企业（优先支持科技领军企业、科技小巨人企业、专精特新小巨人企业）牵头，联合上下游企业和高校院所组建创新联合体，聚焦榜单拟定的目标任务开展关键共性技术攻关。</w:t>
      </w:r>
    </w:p>
    <w:p>
      <w:pPr>
        <w:pStyle w:val="3"/>
        <w:spacing w:line="580" w:lineRule="exact"/>
        <w:ind w:left="0"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须签订“军令状”的项目，应对攻关目标、里程碑节点、攻关时限、技术/产品具体指标等进行约定，承诺按照对标单位的领先技术或产品要求，开发出符合条件的技术/产品并在最终用户单位实现示范应用。未能如期按要求完成攻关目标的，将按照项目管理规定接受统一处置。</w:t>
      </w:r>
    </w:p>
    <w:p>
      <w:pPr>
        <w:pStyle w:val="3"/>
        <w:spacing w:line="580" w:lineRule="exact"/>
        <w:ind w:left="0"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无省级科技创新平台的申报单位应满足以下条件和要求：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4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97" w:type="dxa"/>
            <w:noWrap w:val="0"/>
            <w:vAlign w:val="center"/>
          </w:tcPr>
          <w:p>
            <w:pPr>
              <w:spacing w:line="280" w:lineRule="exact"/>
              <w:jc w:val="center"/>
              <w:rPr>
                <w:b/>
                <w:bCs/>
                <w:color w:val="000000"/>
                <w:szCs w:val="21"/>
              </w:rPr>
            </w:pPr>
            <w:r>
              <w:rPr>
                <w:b/>
                <w:bCs/>
                <w:color w:val="000000"/>
                <w:szCs w:val="21"/>
              </w:rPr>
              <w:t>序号</w:t>
            </w:r>
          </w:p>
        </w:tc>
        <w:tc>
          <w:tcPr>
            <w:tcW w:w="1540" w:type="dxa"/>
            <w:noWrap w:val="0"/>
            <w:vAlign w:val="center"/>
          </w:tcPr>
          <w:p>
            <w:pPr>
              <w:spacing w:line="280" w:lineRule="exact"/>
              <w:jc w:val="center"/>
              <w:rPr>
                <w:b/>
                <w:bCs/>
                <w:color w:val="000000"/>
                <w:szCs w:val="21"/>
              </w:rPr>
            </w:pPr>
            <w:r>
              <w:rPr>
                <w:b/>
                <w:bCs/>
                <w:color w:val="000000"/>
                <w:szCs w:val="21"/>
              </w:rPr>
              <w:t>基本条件</w:t>
            </w:r>
          </w:p>
        </w:tc>
        <w:tc>
          <w:tcPr>
            <w:tcW w:w="6240" w:type="dxa"/>
            <w:noWrap w:val="0"/>
            <w:vAlign w:val="center"/>
          </w:tcPr>
          <w:p>
            <w:pPr>
              <w:spacing w:line="280" w:lineRule="exact"/>
              <w:jc w:val="center"/>
              <w:rPr>
                <w:b/>
                <w:bCs/>
                <w:color w:val="000000"/>
                <w:szCs w:val="21"/>
              </w:rPr>
            </w:pPr>
            <w:r>
              <w:rPr>
                <w:b/>
                <w:bCs/>
                <w:color w:val="00000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noWrap w:val="0"/>
            <w:vAlign w:val="center"/>
          </w:tcPr>
          <w:p>
            <w:pPr>
              <w:spacing w:line="280" w:lineRule="exact"/>
              <w:jc w:val="center"/>
              <w:rPr>
                <w:color w:val="000000"/>
                <w:szCs w:val="21"/>
              </w:rPr>
            </w:pPr>
            <w:r>
              <w:rPr>
                <w:color w:val="000000"/>
                <w:szCs w:val="21"/>
              </w:rPr>
              <w:t>1</w:t>
            </w:r>
          </w:p>
        </w:tc>
        <w:tc>
          <w:tcPr>
            <w:tcW w:w="1540" w:type="dxa"/>
            <w:noWrap w:val="0"/>
            <w:vAlign w:val="center"/>
          </w:tcPr>
          <w:p>
            <w:pPr>
              <w:spacing w:line="280" w:lineRule="exact"/>
              <w:jc w:val="center"/>
              <w:rPr>
                <w:color w:val="000000"/>
                <w:szCs w:val="21"/>
              </w:rPr>
            </w:pPr>
            <w:r>
              <w:rPr>
                <w:color w:val="000000"/>
                <w:szCs w:val="21"/>
              </w:rPr>
              <w:t>研发投入</w:t>
            </w:r>
          </w:p>
        </w:tc>
        <w:tc>
          <w:tcPr>
            <w:tcW w:w="6240" w:type="dxa"/>
            <w:noWrap w:val="0"/>
            <w:vAlign w:val="center"/>
          </w:tcPr>
          <w:p>
            <w:pPr>
              <w:pStyle w:val="5"/>
              <w:shd w:val="clear" w:color="auto" w:fill="FFFFFF"/>
              <w:spacing w:beforeAutospacing="0" w:afterAutospacing="0" w:line="280" w:lineRule="exact"/>
              <w:rPr>
                <w:sz w:val="21"/>
                <w:szCs w:val="21"/>
              </w:rPr>
            </w:pPr>
            <w:r>
              <w:rPr>
                <w:rFonts w:eastAsia="å¾®è½¯é›…é»‘"/>
                <w:sz w:val="21"/>
                <w:szCs w:val="21"/>
              </w:rPr>
              <w:t>企业上一年度研究开发费用占销售收入总额的比例符合如下要求：销售收入小于5000万元的，不低于5%，且研究开发费用不低于100万元；销售收入5000万元至20000万元的，不低于4%，且研究开发费用不低于250万元；销售收入20000万元以上的，不低于3%，且研究开发费用不低于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80" w:lineRule="exact"/>
              <w:jc w:val="center"/>
              <w:rPr>
                <w:color w:val="000000"/>
                <w:szCs w:val="21"/>
              </w:rPr>
            </w:pPr>
            <w:r>
              <w:rPr>
                <w:color w:val="000000"/>
                <w:szCs w:val="21"/>
              </w:rPr>
              <w:t>2</w:t>
            </w:r>
          </w:p>
        </w:tc>
        <w:tc>
          <w:tcPr>
            <w:tcW w:w="1540" w:type="dxa"/>
            <w:noWrap w:val="0"/>
            <w:vAlign w:val="center"/>
          </w:tcPr>
          <w:p>
            <w:pPr>
              <w:spacing w:line="280" w:lineRule="exact"/>
              <w:jc w:val="center"/>
              <w:rPr>
                <w:color w:val="000000"/>
                <w:szCs w:val="21"/>
              </w:rPr>
            </w:pPr>
            <w:r>
              <w:rPr>
                <w:color w:val="000000"/>
                <w:szCs w:val="21"/>
              </w:rPr>
              <w:t>科研人员</w:t>
            </w:r>
          </w:p>
        </w:tc>
        <w:tc>
          <w:tcPr>
            <w:tcW w:w="6240" w:type="dxa"/>
            <w:noWrap w:val="0"/>
            <w:vAlign w:val="center"/>
          </w:tcPr>
          <w:p>
            <w:pPr>
              <w:spacing w:line="280" w:lineRule="exact"/>
              <w:rPr>
                <w:szCs w:val="21"/>
              </w:rPr>
            </w:pPr>
            <w:r>
              <w:rPr>
                <w:rFonts w:eastAsia="å¾®è½¯é›…é»‘"/>
                <w:szCs w:val="21"/>
                <w:shd w:val="clear" w:color="auto" w:fill="FFFFFF"/>
              </w:rPr>
              <w:t>有相对独立的研发机构，专职研究开发人员不少于15人（软件类企业30人），占企业当年职工总数的比例不低于10%；具有专科以上学历或中级以上职称的工程技术人员不低于研发机构职工总数的50％。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80" w:lineRule="exact"/>
              <w:jc w:val="center"/>
              <w:rPr>
                <w:color w:val="000000"/>
                <w:szCs w:val="21"/>
              </w:rPr>
            </w:pPr>
            <w:r>
              <w:rPr>
                <w:color w:val="000000"/>
                <w:szCs w:val="21"/>
              </w:rPr>
              <w:t>3</w:t>
            </w:r>
          </w:p>
        </w:tc>
        <w:tc>
          <w:tcPr>
            <w:tcW w:w="1540" w:type="dxa"/>
            <w:noWrap w:val="0"/>
            <w:vAlign w:val="center"/>
          </w:tcPr>
          <w:p>
            <w:pPr>
              <w:spacing w:line="280" w:lineRule="exact"/>
              <w:jc w:val="center"/>
              <w:rPr>
                <w:color w:val="000000"/>
                <w:szCs w:val="21"/>
              </w:rPr>
            </w:pPr>
            <w:r>
              <w:rPr>
                <w:color w:val="000000"/>
                <w:szCs w:val="21"/>
              </w:rPr>
              <w:t>科研设施</w:t>
            </w:r>
          </w:p>
        </w:tc>
        <w:tc>
          <w:tcPr>
            <w:tcW w:w="6240" w:type="dxa"/>
            <w:noWrap w:val="0"/>
            <w:vAlign w:val="center"/>
          </w:tcPr>
          <w:p>
            <w:pPr>
              <w:spacing w:line="280" w:lineRule="exact"/>
              <w:rPr>
                <w:szCs w:val="21"/>
              </w:rPr>
            </w:pPr>
            <w:r>
              <w:rPr>
                <w:rFonts w:eastAsia="å¾®è½¯é›…é»‘"/>
                <w:szCs w:val="21"/>
                <w:shd w:val="clear" w:color="auto" w:fill="FFFFFF"/>
              </w:rPr>
              <w:t>研发场地500平方米以上，科研设备原值总额500万元以上（软件类企业100万元以上）；科研生产共用的设备原值不超过科研设备原值总额的30%（科研生产共用的设备原值按30%比例计入科研设备原值）</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80" w:lineRule="exact"/>
              <w:jc w:val="center"/>
              <w:rPr>
                <w:color w:val="000000"/>
                <w:szCs w:val="21"/>
              </w:rPr>
            </w:pPr>
            <w:r>
              <w:rPr>
                <w:color w:val="000000"/>
                <w:szCs w:val="21"/>
              </w:rPr>
              <w:t>4</w:t>
            </w:r>
          </w:p>
        </w:tc>
        <w:tc>
          <w:tcPr>
            <w:tcW w:w="1540" w:type="dxa"/>
            <w:noWrap w:val="0"/>
            <w:vAlign w:val="center"/>
          </w:tcPr>
          <w:p>
            <w:pPr>
              <w:spacing w:line="280" w:lineRule="exact"/>
              <w:jc w:val="center"/>
              <w:rPr>
                <w:color w:val="000000"/>
                <w:szCs w:val="21"/>
              </w:rPr>
            </w:pPr>
            <w:r>
              <w:rPr>
                <w:color w:val="000000"/>
                <w:szCs w:val="21"/>
              </w:rPr>
              <w:t>知识产权</w:t>
            </w:r>
          </w:p>
        </w:tc>
        <w:tc>
          <w:tcPr>
            <w:tcW w:w="6240" w:type="dxa"/>
            <w:noWrap w:val="0"/>
            <w:vAlign w:val="center"/>
          </w:tcPr>
          <w:p>
            <w:pPr>
              <w:spacing w:line="280" w:lineRule="exact"/>
              <w:rPr>
                <w:szCs w:val="21"/>
              </w:rPr>
            </w:pPr>
            <w:r>
              <w:rPr>
                <w:rFonts w:eastAsia="å¾®è½¯é›…é»‘"/>
                <w:szCs w:val="21"/>
                <w:shd w:val="clear" w:color="auto" w:fill="FFFFFF"/>
              </w:rPr>
              <w:t>近三年内通过自主研发、受让、受赠、并购、独占许可等方式，在其申报领域拥有1件以上发明专利（含国防专利）、植物新品种、国家级农作物品种、国家新药、国家一级中药保护品种、集成电路布图设计专有权，或6件以上实用新型专利、外观设计专利、软件著作权等（不含商标）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7" w:type="dxa"/>
            <w:noWrap w:val="0"/>
            <w:vAlign w:val="center"/>
          </w:tcPr>
          <w:p>
            <w:pPr>
              <w:spacing w:line="280" w:lineRule="exact"/>
              <w:jc w:val="center"/>
              <w:rPr>
                <w:color w:val="000000"/>
                <w:szCs w:val="21"/>
              </w:rPr>
            </w:pPr>
            <w:r>
              <w:rPr>
                <w:color w:val="000000"/>
                <w:szCs w:val="21"/>
              </w:rPr>
              <w:t>5</w:t>
            </w:r>
          </w:p>
        </w:tc>
        <w:tc>
          <w:tcPr>
            <w:tcW w:w="1540" w:type="dxa"/>
            <w:noWrap w:val="0"/>
            <w:vAlign w:val="center"/>
          </w:tcPr>
          <w:p>
            <w:pPr>
              <w:spacing w:line="280" w:lineRule="exact"/>
              <w:jc w:val="center"/>
              <w:rPr>
                <w:color w:val="000000"/>
                <w:szCs w:val="21"/>
              </w:rPr>
            </w:pPr>
            <w:r>
              <w:rPr>
                <w:color w:val="000000"/>
                <w:szCs w:val="21"/>
              </w:rPr>
              <w:t>成果转化</w:t>
            </w:r>
          </w:p>
        </w:tc>
        <w:tc>
          <w:tcPr>
            <w:tcW w:w="6240" w:type="dxa"/>
            <w:noWrap w:val="0"/>
            <w:vAlign w:val="center"/>
          </w:tcPr>
          <w:p>
            <w:pPr>
              <w:spacing w:line="280" w:lineRule="exact"/>
              <w:rPr>
                <w:rFonts w:eastAsia="å¾®è½¯é›…é»‘"/>
                <w:szCs w:val="21"/>
                <w:shd w:val="clear" w:color="auto" w:fill="FFFFFF"/>
              </w:rPr>
            </w:pPr>
            <w:r>
              <w:rPr>
                <w:rFonts w:eastAsia="å¾®è½¯é›…é»‘"/>
                <w:szCs w:val="21"/>
                <w:shd w:val="clear" w:color="auto" w:fill="FFFFFF"/>
              </w:rPr>
              <w:t>近三年累计转化科技成果15项以上。</w:t>
            </w:r>
          </w:p>
        </w:tc>
      </w:tr>
    </w:tbl>
    <w:p>
      <w:pPr>
        <w:pStyle w:val="2"/>
        <w:spacing w:line="580" w:lineRule="exact"/>
        <w:ind w:firstLine="640" w:firstLineChars="200"/>
        <w:rPr>
          <w:rFonts w:eastAsia="黑体"/>
          <w:color w:val="000000"/>
        </w:rPr>
      </w:pPr>
      <w:r>
        <w:rPr>
          <w:rFonts w:eastAsia="黑体"/>
          <w:color w:val="000000"/>
        </w:rPr>
        <w:t>二、项目负责人要求</w:t>
      </w:r>
    </w:p>
    <w:p>
      <w:pPr>
        <w:pStyle w:val="2"/>
        <w:rPr>
          <w:rFonts w:eastAsia="仿宋_GB2312"/>
        </w:rPr>
      </w:pPr>
      <w:r>
        <w:t xml:space="preserve">    </w:t>
      </w:r>
      <w:r>
        <w:rPr>
          <w:rFonts w:eastAsia="仿宋_GB2312"/>
        </w:rPr>
        <w:t>1</w:t>
      </w:r>
      <w:r>
        <w:rPr>
          <w:rFonts w:hint="eastAsia" w:eastAsia="仿宋_GB2312"/>
        </w:rPr>
        <w:t>．</w:t>
      </w:r>
      <w:r>
        <w:rPr>
          <w:rFonts w:eastAsia="仿宋_GB2312"/>
        </w:rPr>
        <w:t>作为项目负责人，同年度只能申报1项“尖兵”“领雁”研发攻关计划项目，在研各类省级科技计划项目数已超过1项的不得申报。</w:t>
      </w:r>
    </w:p>
    <w:p>
      <w:pPr>
        <w:pStyle w:val="2"/>
        <w:ind w:firstLine="640" w:firstLineChars="200"/>
        <w:rPr>
          <w:rFonts w:eastAsia="仿宋_GB2312"/>
          <w:color w:val="000000"/>
        </w:rPr>
      </w:pPr>
      <w:r>
        <w:rPr>
          <w:rFonts w:eastAsia="仿宋_GB2312"/>
        </w:rPr>
        <w:t>2</w:t>
      </w:r>
      <w:r>
        <w:rPr>
          <w:rFonts w:hint="eastAsia" w:eastAsia="仿宋_GB2312"/>
        </w:rPr>
        <w:t>．</w:t>
      </w:r>
      <w:r>
        <w:rPr>
          <w:rFonts w:eastAsia="仿宋_GB2312"/>
          <w:color w:val="000000"/>
        </w:rPr>
        <w:t>申报“尖兵计划”榜单项目的，无年龄、学历和职称要求。申报其他榜单项目，在项目实施期内将到达法定退休年龄的（院士为70周岁），原则上不得申报，如确需申报，应由单位出具允许申报且能确保项目履约实施的承诺书（如返聘、延迟退休等）。</w:t>
      </w:r>
      <w:r>
        <w:rPr>
          <w:rFonts w:eastAsia="仿宋_GB2312"/>
        </w:rPr>
        <w:t>如非牵头申报单位在职人员，应由牵头申报单位出具赋予其管</w:t>
      </w:r>
      <w:r>
        <w:rPr>
          <w:rFonts w:eastAsia="仿宋_GB2312"/>
          <w:color w:val="000000"/>
        </w:rPr>
        <w:t>理项目实施的授权书。</w:t>
      </w:r>
    </w:p>
    <w:p>
      <w:pPr>
        <w:overflowPunct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承担在研应急攻关任务、对口帮扶项目、省杰青项目、省领军型创新创业团队项目、省高层次人才特殊支持计划（科技创新领军人才、科技创业领军人才）项目的，不纳入申报限项范围（同一项目负责人同年度各类省级科技计划项目立项</w:t>
      </w:r>
      <w:r>
        <w:rPr>
          <w:rFonts w:eastAsia="仿宋_GB2312"/>
          <w:sz w:val="32"/>
          <w:szCs w:val="32"/>
          <w:lang w:eastAsia="zh"/>
        </w:rPr>
        <w:t>原则上</w:t>
      </w:r>
      <w:r>
        <w:rPr>
          <w:rFonts w:eastAsia="仿宋_GB2312"/>
          <w:sz w:val="32"/>
          <w:szCs w:val="32"/>
        </w:rPr>
        <w:t>不超过</w:t>
      </w:r>
      <w:r>
        <w:rPr>
          <w:rFonts w:eastAsia="仿宋_GB2312"/>
          <w:sz w:val="32"/>
          <w:szCs w:val="32"/>
          <w:lang w:eastAsia="zh"/>
        </w:rPr>
        <w:t>1项</w:t>
      </w:r>
      <w:r>
        <w:rPr>
          <w:rFonts w:eastAsia="仿宋_GB2312"/>
          <w:sz w:val="32"/>
          <w:szCs w:val="32"/>
        </w:rPr>
        <w:t>）。</w:t>
      </w:r>
    </w:p>
    <w:p>
      <w:pPr>
        <w:overflowPunct w:val="0"/>
        <w:spacing w:line="580" w:lineRule="exact"/>
        <w:ind w:firstLine="640" w:firstLineChars="200"/>
        <w:rPr>
          <w:rFonts w:eastAsia="仿宋_GB2312"/>
          <w:sz w:val="32"/>
          <w:szCs w:val="32"/>
        </w:rPr>
      </w:pPr>
      <w:r>
        <w:rPr>
          <w:rFonts w:eastAsia="仿宋_GB2312"/>
          <w:sz w:val="32"/>
          <w:szCs w:val="32"/>
        </w:rPr>
        <w:t>4.项目实施期间原则上不得调离或辞去工作职位。</w:t>
      </w:r>
    </w:p>
    <w:p>
      <w:pPr>
        <w:pStyle w:val="2"/>
        <w:spacing w:line="580" w:lineRule="exact"/>
        <w:ind w:left="0" w:firstLine="640" w:firstLineChars="200"/>
        <w:rPr>
          <w:rFonts w:eastAsia="黑体"/>
          <w:color w:val="000000"/>
        </w:rPr>
      </w:pPr>
      <w:r>
        <w:rPr>
          <w:rFonts w:eastAsia="黑体"/>
          <w:color w:val="000000"/>
        </w:rPr>
        <w:t>三、成果类型说明</w:t>
      </w:r>
    </w:p>
    <w:p>
      <w:pPr>
        <w:pStyle w:val="2"/>
        <w:spacing w:line="580" w:lineRule="exact"/>
        <w:ind w:left="0" w:firstLine="640" w:firstLineChars="200"/>
        <w:rPr>
          <w:rFonts w:eastAsia="黑体"/>
          <w:color w:val="000000"/>
        </w:rPr>
      </w:pPr>
      <w:r>
        <w:rPr>
          <w:rFonts w:eastAsia="仿宋_GB2312"/>
          <w:color w:val="000000"/>
        </w:rPr>
        <w:t>根据科学技术部制定的科技成果登记表（国统制（2022）11号），</w:t>
      </w:r>
      <w:r>
        <w:rPr>
          <w:rFonts w:eastAsia="仿宋_GB2312"/>
          <w:b/>
          <w:bCs/>
        </w:rPr>
        <w:t>应用技术成果</w:t>
      </w:r>
      <w:r>
        <w:rPr>
          <w:rFonts w:eastAsia="仿宋_GB2312"/>
        </w:rPr>
        <w:t>主要是指针对某一特定的实际应用目的，为获得新的科学技术知识而进行的独创性研究，应用研究通常是为了确定基础研究成果或知识的可能的用途，或是为达到某一具体的、预定的实际目的确定新的方法（原理）或途径，主要包括为提高生产力水平而进行的科学研究、技术开发、后续试验和应用推广所产生的具有实用价值的新技术、新产品、新工艺、新材料、新装备等。其中包括计算机软件成果。</w:t>
      </w:r>
      <w:r>
        <w:rPr>
          <w:rFonts w:eastAsia="仿宋_GB2312"/>
          <w:b/>
          <w:bCs/>
        </w:rPr>
        <w:t>基础理论成果</w:t>
      </w:r>
      <w:r>
        <w:rPr>
          <w:rFonts w:eastAsia="仿宋_GB2312"/>
        </w:rPr>
        <w:t>是指为获得新知识而进行的独创性研究。其目的是揭示观察到的现象和事实的基本原理和规律</w:t>
      </w:r>
      <w:r>
        <w:rPr>
          <w:rFonts w:eastAsia="仿宋_GB2312"/>
          <w:color w:val="000000"/>
        </w:rPr>
        <w:t>。</w:t>
      </w:r>
      <w:r>
        <w:rPr>
          <w:rFonts w:eastAsia="仿宋_GB2312"/>
        </w:rPr>
        <w:t>成果形式为论文、著作、研究报告等。</w:t>
      </w:r>
      <w:r>
        <w:rPr>
          <w:rFonts w:eastAsia="仿宋_GB2312"/>
          <w:color w:val="000000"/>
        </w:rPr>
        <w:t>基础理论类图书列入此类。</w:t>
      </w:r>
    </w:p>
    <w:p>
      <w:pPr>
        <w:pStyle w:val="2"/>
        <w:spacing w:line="580" w:lineRule="exact"/>
        <w:ind w:left="0" w:firstLine="640" w:firstLineChars="200"/>
        <w:rPr>
          <w:rFonts w:eastAsia="黑体"/>
          <w:color w:val="000000"/>
        </w:rPr>
      </w:pPr>
      <w:r>
        <w:rPr>
          <w:rFonts w:eastAsia="黑体"/>
          <w:color w:val="000000"/>
        </w:rPr>
        <w:t>四、其他注意事项</w:t>
      </w:r>
    </w:p>
    <w:p>
      <w:pPr>
        <w:overflowPunct w:val="0"/>
        <w:spacing w:line="580" w:lineRule="exact"/>
        <w:ind w:firstLine="640" w:firstLineChars="200"/>
        <w:rPr>
          <w:rFonts w:eastAsia="仿宋_GB2312"/>
        </w:rPr>
      </w:pPr>
      <w:r>
        <w:rPr>
          <w:rFonts w:eastAsia="仿宋_GB2312"/>
          <w:color w:val="000000"/>
          <w:kern w:val="0"/>
          <w:sz w:val="32"/>
          <w:szCs w:val="32"/>
        </w:rPr>
        <w:t>1</w:t>
      </w:r>
      <w:r>
        <w:rPr>
          <w:rFonts w:hint="eastAsia" w:eastAsia="仿宋_GB2312"/>
          <w:color w:val="000000"/>
          <w:kern w:val="0"/>
          <w:sz w:val="32"/>
          <w:szCs w:val="32"/>
        </w:rPr>
        <w:t>．</w:t>
      </w:r>
      <w:r>
        <w:rPr>
          <w:rFonts w:eastAsia="仿宋_GB2312"/>
          <w:sz w:val="32"/>
          <w:szCs w:val="32"/>
        </w:rPr>
        <w:t>省实验室、省技术创新中心不设推荐限额，立项的项目及省级财政</w:t>
      </w:r>
      <w:r>
        <w:rPr>
          <w:rFonts w:eastAsia="仿宋_GB2312"/>
          <w:bCs/>
          <w:color w:val="000000"/>
          <w:kern w:val="0"/>
          <w:sz w:val="32"/>
          <w:szCs w:val="32"/>
          <w:lang w:eastAsia="zh"/>
        </w:rPr>
        <w:t>补助经费</w:t>
      </w:r>
      <w:r>
        <w:rPr>
          <w:rFonts w:eastAsia="仿宋_GB2312"/>
          <w:bCs/>
          <w:color w:val="000000"/>
          <w:kern w:val="0"/>
          <w:sz w:val="32"/>
          <w:szCs w:val="32"/>
        </w:rPr>
        <w:t>按有关政策执行。</w:t>
      </w:r>
      <w:r>
        <w:rPr>
          <w:rFonts w:eastAsia="仿宋_GB2312"/>
          <w:sz w:val="32"/>
          <w:szCs w:val="32"/>
        </w:rPr>
        <w:t>省级临床医学研究中心限额推荐数按有关政策执行。</w:t>
      </w:r>
    </w:p>
    <w:p>
      <w:pPr>
        <w:overflowPunct w:val="0"/>
        <w:spacing w:line="58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申报项目的可行性报告中应严格回避项目申请单位、参与单位及项目组成员的相关信息，以确保专家评审的公正性（可行性报告模板可在系统下载）。申报材料和相关证明材料不得包含法律禁止公开的秘密内容或申请人要求保密的内容，如涉密需脱密后提交。</w:t>
      </w:r>
    </w:p>
    <w:p>
      <w:pPr>
        <w:overflowPunct w:val="0"/>
        <w:spacing w:line="580" w:lineRule="exact"/>
        <w:ind w:firstLine="617" w:firstLineChars="193"/>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申报项目拟购置50万元及以上科研仪器的，需提交《新购大型科学仪器设备申请表》（申请表模板可在系统下载）。</w:t>
      </w:r>
    </w:p>
    <w:p>
      <w:pPr>
        <w:overflowPunct w:val="0"/>
        <w:spacing w:line="580" w:lineRule="exact"/>
        <w:ind w:firstLine="617" w:firstLineChars="193"/>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项目申报书中应设置科研助理岗位，选聘科研助理从事科研项目辅助研究、实验（工程）设施运行维护和实验技术、科技成果转移转化以及学术助理和财务助理等工作。科研助理相关经费支出，可按规定在科研项目经费中的“劳务费”科目及结余资金里支出。</w:t>
      </w:r>
    </w:p>
    <w:p>
      <w:pPr>
        <w:overflowPunct w:val="0"/>
        <w:spacing w:line="580" w:lineRule="exact"/>
        <w:ind w:firstLine="617" w:firstLineChars="193"/>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kern w:val="0"/>
          <w:sz w:val="32"/>
          <w:szCs w:val="32"/>
        </w:rPr>
        <w:t>项目实施过程中凡涉及人体被试和人类遗传资源、实验动物的科学研究，须严格执行《涉及人的生物医学研究伦理审查办法》《中华人民共和国人类遗传资源管理条例》《浙江省实验动物管理办法》等相关规定。</w:t>
      </w:r>
    </w:p>
    <w:p>
      <w:pPr>
        <w:overflowPunct w:val="0"/>
        <w:spacing w:line="58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w:t>
      </w:r>
      <w:r>
        <w:rPr>
          <w:rFonts w:eastAsia="仿宋_GB2312"/>
          <w:color w:val="000000"/>
          <w:kern w:val="0"/>
          <w:sz w:val="32"/>
          <w:szCs w:val="32"/>
        </w:rPr>
        <w:t>牵头申报单位和参与单位均应在单位财务系统中独立核算研发费。企业应登录浙江省政务服务网（https://zwfw.zj.gov.cn/），搜索“科技创新”，点击“立即办理”“加计扣除”填报研发费用信息（需使用政务网法人账号登录）。</w:t>
      </w:r>
    </w:p>
    <w:p>
      <w:pPr>
        <w:spacing w:line="600" w:lineRule="exact"/>
        <w:rPr>
          <w:rFonts w:eastAsia="仿宋_GB2312"/>
        </w:rPr>
      </w:pPr>
    </w:p>
    <w:p/>
    <w:sectPr>
      <w:footerReference r:id="rId3" w:type="default"/>
      <w:footerReference r:id="rId4" w:type="even"/>
      <w:pgSz w:w="11906" w:h="16838"/>
      <w:pgMar w:top="2098" w:right="1474" w:bottom="1440"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BC07F2-D1FE-4427-9D7D-0537B669BD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8CE743-A8D6-45E7-8147-1D45A85DB7DE}"/>
  </w:font>
  <w:font w:name="方正小标宋简体">
    <w:panose1 w:val="02000000000000000000"/>
    <w:charset w:val="86"/>
    <w:family w:val="script"/>
    <w:pitch w:val="default"/>
    <w:sig w:usb0="00000001" w:usb1="08000000" w:usb2="00000000" w:usb3="00000000" w:csb0="00040000" w:csb1="00000000"/>
    <w:embedRegular r:id="rId3" w:fontKey="{CCA917FE-0671-4ABA-B4C6-1C3BE88D9133}"/>
  </w:font>
  <w:font w:name="仿宋_GB2312">
    <w:altName w:val="仿宋"/>
    <w:panose1 w:val="02010609030101010101"/>
    <w:charset w:val="86"/>
    <w:family w:val="modern"/>
    <w:pitch w:val="default"/>
    <w:sig w:usb0="00000000" w:usb1="00000000" w:usb2="00000010" w:usb3="00000000" w:csb0="00040000" w:csb1="00000000"/>
    <w:embedRegular r:id="rId4" w:fontKey="{2F7DBE11-D3C0-42D2-8F22-F4756A961B72}"/>
  </w:font>
  <w:font w:name="å¾®è½¯é›…é»‘">
    <w:altName w:val="宋体"/>
    <w:panose1 w:val="00000000000000000000"/>
    <w:charset w:val="86"/>
    <w:family w:val="roman"/>
    <w:pitch w:val="default"/>
    <w:sig w:usb0="00000000" w:usb1="00000000" w:usb2="00000010" w:usb3="00000000" w:csb0="00040000" w:csb1="00000000"/>
    <w:embedRegular r:id="rId5" w:fontKey="{88C21045-DBF3-4C13-AD28-F732EB10677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8"/>
        <w:rFonts w:hint="eastAsia" w:ascii="宋体"/>
        <w:sz w:val="28"/>
        <w:szCs w:val="28"/>
      </w:rPr>
      <w:t>－</w:t>
    </w:r>
    <w:r>
      <w:rPr>
        <w:rStyle w:val="8"/>
        <w:rFonts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13</w:t>
    </w:r>
    <w:r>
      <w:rPr>
        <w:rStyle w:val="8"/>
        <w:rFonts w:ascii="宋体"/>
        <w:sz w:val="28"/>
        <w:szCs w:val="28"/>
      </w:rPr>
      <w:fldChar w:fldCharType="end"/>
    </w:r>
    <w:r>
      <w:rPr>
        <w:rStyle w:val="8"/>
        <w:rFonts w:ascii="宋体"/>
        <w:sz w:val="28"/>
        <w:szCs w:val="28"/>
      </w:rPr>
      <w:t xml:space="preserve"> </w:t>
    </w:r>
    <w:r>
      <w:rPr>
        <w:rStyle w:val="8"/>
        <w:rFonts w:hint="eastAsia" w:asci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8"/>
        <w:rFonts w:hint="eastAsia" w:ascii="宋体"/>
        <w:sz w:val="28"/>
        <w:szCs w:val="28"/>
      </w:rPr>
      <w:t>－</w:t>
    </w:r>
    <w:r>
      <w:rPr>
        <w:rStyle w:val="8"/>
        <w:rFonts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12</w:t>
    </w:r>
    <w:r>
      <w:rPr>
        <w:rStyle w:val="8"/>
        <w:rFonts w:ascii="宋体"/>
        <w:sz w:val="28"/>
        <w:szCs w:val="28"/>
      </w:rPr>
      <w:fldChar w:fldCharType="end"/>
    </w:r>
    <w:r>
      <w:rPr>
        <w:rStyle w:val="8"/>
        <w:rFonts w:ascii="宋体"/>
        <w:sz w:val="28"/>
        <w:szCs w:val="28"/>
      </w:rPr>
      <w:t xml:space="preserve"> </w:t>
    </w:r>
    <w:r>
      <w:rPr>
        <w:rStyle w:val="8"/>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AB7280A"/>
    <w:rsid w:val="3AB7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2023-08-25T14:43:00Z</dcterms:created>
  <dc:creator>rcs</dc:creator>
  <cp:lastModifiedBy>rcs</cp:lastModifiedBy>
  <dcterms:modified xsi:type="dcterms:W3CDTF">2023-08-25T14:43:25Z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F7007059C3AA4361B40F26E1DA927F29_11</vt:lpwstr>
  </property>
</Properties>
</file>